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AUFLÖSUNG EINER GBR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der Gesellschafter:</w:t>
      </w:r>
    </w:p>
    <w:p>
      <w:r>
        <w:rPr>
          <w:b w:val="0"/>
          <w:sz w:val="20"/>
        </w:rPr>
        <w:t>Gesellschafter 1: 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Gesellschafter 2: 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Weitere Gesellschafter (falls vorhanden):</w:t>
      </w:r>
    </w:p>
    <w:p>
      <w:r>
        <w:rPr>
          <w:b w:val="0"/>
          <w:sz w:val="20"/>
        </w:rPr>
        <w:t>Gesellschafter 3: 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§ 1 – Auflösung der Gesellschaft</w:t>
      </w:r>
    </w:p>
    <w:p>
      <w:r>
        <w:rPr>
          <w:b w:val="0"/>
          <w:sz w:val="20"/>
        </w:rPr>
        <w:t>Die Gesellschaft bürgerlichen Rechts (GbR) wird hiermit mit Wirkung ab Unterzeichnung dieses Vertrages aufgelöst.</w:t>
      </w:r>
    </w:p>
    <w:p/>
    <w:p>
      <w:r>
        <w:rPr>
          <w:b/>
          <w:sz w:val="20"/>
        </w:rPr>
        <w:t>§ 2 – Abwicklung der Gesellschaft</w:t>
      </w:r>
    </w:p>
    <w:p>
      <w:r>
        <w:rPr>
          <w:b w:val="0"/>
          <w:sz w:val="20"/>
        </w:rPr>
        <w:t>Die Gesellschafter verpflichten sich, die Abwicklung der Gesellschaft nach den gesetzlichen Vorschriften durchzuführen. Sämtliche noch bestehenden Verbindlichkeiten und Forderungen sind zu erfüllen bzw. zu realisieren.</w:t>
      </w:r>
    </w:p>
    <w:p/>
    <w:p>
      <w:r>
        <w:rPr>
          <w:b/>
          <w:sz w:val="20"/>
        </w:rPr>
        <w:t>§ 3 – Vermögensverteilung</w:t>
      </w:r>
    </w:p>
    <w:p>
      <w:r>
        <w:rPr>
          <w:b w:val="0"/>
          <w:sz w:val="20"/>
        </w:rPr>
        <w:t>Das verbleibende Vermögen der Gesellschaft wird nach Abzug aller Verbindlichkeiten gemäß den jeweiligen Gesellschaftsanteilen aufgeteilt.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Die Gesellschafter haften weiterhin gesamtschuldnerisch für Verbindlichkeiten, die bis zum Zeitpunkt der Auflösung entstanden sind.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so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https://vorlagenfy.com/auflosung-einer-gbr-muster/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uflosung-einer-gbr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